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F7" w:rsidRDefault="008A63F7" w:rsidP="008A63F7">
      <w:r>
        <w:t xml:space="preserve">Na temelju članka 22. stavka 4. Odluke o zakupu i kupoprodaji poslovnoga prostora (Službeni glasnik Grada Zagreba 10/12) i </w:t>
      </w:r>
      <w:r w:rsidR="008A29CA">
        <w:t>Zaključka Gradonačelnika o davanju suglasnosti za provođenje postupka javnog natječaja za davanje u zakup poslovnog prostora od 3. kolovoza 2015. godine,</w:t>
      </w:r>
      <w:r>
        <w:t xml:space="preserve"> Damir Jelenski, prof. ravnatelj Gimnazije Tituša Brezovačkog raspisuje </w:t>
      </w:r>
    </w:p>
    <w:p w:rsidR="008A63F7" w:rsidRPr="003D3A32" w:rsidRDefault="008A63F7" w:rsidP="008A63F7">
      <w:pPr>
        <w:jc w:val="center"/>
        <w:rPr>
          <w:b/>
        </w:rPr>
      </w:pPr>
      <w:r w:rsidRPr="003D3A32">
        <w:rPr>
          <w:b/>
        </w:rPr>
        <w:t xml:space="preserve">J A V N I     N A T J E Č A J </w:t>
      </w:r>
    </w:p>
    <w:p w:rsidR="008A63F7" w:rsidRDefault="008A63F7" w:rsidP="008A63F7">
      <w:pPr>
        <w:jc w:val="center"/>
      </w:pPr>
      <w:r>
        <w:t xml:space="preserve">za davanje u zakup poslovnog prostora u sklopu Gimnazije Tituša Brezovačkog </w:t>
      </w:r>
    </w:p>
    <w:p w:rsidR="008A63F7" w:rsidRDefault="008A63F7" w:rsidP="008A63F7">
      <w:pPr>
        <w:jc w:val="center"/>
      </w:pPr>
      <w:r>
        <w:t xml:space="preserve">podnošenjem pisanih ponuda </w:t>
      </w:r>
    </w:p>
    <w:p w:rsidR="008A63F7" w:rsidRDefault="008A63F7" w:rsidP="008A63F7"/>
    <w:p w:rsidR="008A63F7" w:rsidRDefault="008A63F7" w:rsidP="008A63F7">
      <w:pPr>
        <w:pStyle w:val="ListParagraph"/>
        <w:numPr>
          <w:ilvl w:val="0"/>
          <w:numId w:val="1"/>
        </w:numPr>
      </w:pPr>
      <w:r>
        <w:t>Raspisuje se javni natječaj za davanje u zakup poslovnog prostora (</w:t>
      </w:r>
      <w:r w:rsidRPr="00114AC2">
        <w:rPr>
          <w:rFonts w:ascii="Calibri" w:hAnsi="Calibri"/>
        </w:rPr>
        <w:t xml:space="preserve">veličine 52 </w:t>
      </w:r>
      <w:r w:rsidRPr="00114AC2">
        <w:rPr>
          <w:rFonts w:ascii="Calibri" w:hAnsi="Calibri"/>
          <w:lang w:val="pl-PL"/>
        </w:rPr>
        <w:t>m</w:t>
      </w:r>
      <w:r w:rsidRPr="00114AC2">
        <w:rPr>
          <w:rFonts w:ascii="Calibri" w:hAnsi="Calibri"/>
          <w:vertAlign w:val="superscript"/>
          <w:lang w:val="pl-PL"/>
        </w:rPr>
        <w:t>2</w:t>
      </w:r>
      <w:r>
        <w:t xml:space="preserve">) u sklopu Gimnazije Tituša Brezovačkog. </w:t>
      </w:r>
    </w:p>
    <w:p w:rsidR="008A63F7" w:rsidRPr="00114AC2" w:rsidRDefault="008A63F7" w:rsidP="008A63F7">
      <w:pPr>
        <w:pStyle w:val="ListParagraph"/>
        <w:rPr>
          <w:rFonts w:ascii="Verdana" w:hAnsi="Verdana"/>
          <w:color w:val="000080"/>
          <w:lang w:val="pl-PL"/>
        </w:rPr>
      </w:pPr>
      <w:r w:rsidRPr="00114AC2">
        <w:rPr>
          <w:rFonts w:ascii="Calibri" w:hAnsi="Calibri"/>
          <w:lang w:val="pl-PL"/>
        </w:rPr>
        <w:t>Prostor se sastoji od ulaznog dijela (13,34 m</w:t>
      </w:r>
      <w:r w:rsidRPr="00114AC2">
        <w:rPr>
          <w:rFonts w:ascii="Calibri" w:hAnsi="Calibri"/>
          <w:vertAlign w:val="superscript"/>
          <w:lang w:val="pl-PL"/>
        </w:rPr>
        <w:t>2</w:t>
      </w:r>
      <w:r w:rsidRPr="00114AC2">
        <w:rPr>
          <w:rFonts w:ascii="Calibri" w:hAnsi="Calibri"/>
          <w:lang w:val="pl-PL"/>
        </w:rPr>
        <w:t>), glavne prostorije (22,13 m</w:t>
      </w:r>
      <w:r w:rsidRPr="00114AC2">
        <w:rPr>
          <w:rFonts w:ascii="Calibri" w:hAnsi="Calibri"/>
          <w:vertAlign w:val="superscript"/>
          <w:lang w:val="pl-PL"/>
        </w:rPr>
        <w:t>2</w:t>
      </w:r>
      <w:r w:rsidRPr="00114AC2">
        <w:rPr>
          <w:rFonts w:ascii="Calibri" w:hAnsi="Calibri"/>
          <w:lang w:val="pl-PL"/>
        </w:rPr>
        <w:t>), pomoćne prostorije (11,34 m</w:t>
      </w:r>
      <w:r w:rsidRPr="00114AC2">
        <w:rPr>
          <w:rFonts w:ascii="Calibri" w:hAnsi="Calibri"/>
          <w:vertAlign w:val="superscript"/>
          <w:lang w:val="pl-PL"/>
        </w:rPr>
        <w:t>2</w:t>
      </w:r>
      <w:r w:rsidRPr="00114AC2">
        <w:rPr>
          <w:rFonts w:ascii="Calibri" w:hAnsi="Calibri"/>
          <w:lang w:val="pl-PL"/>
        </w:rPr>
        <w:t>) i neuređene prostorije koja može služiti kao ostava (6 m</w:t>
      </w:r>
      <w:r w:rsidRPr="00114AC2">
        <w:rPr>
          <w:rFonts w:ascii="Calibri" w:hAnsi="Calibri"/>
          <w:vertAlign w:val="superscript"/>
          <w:lang w:val="pl-PL"/>
        </w:rPr>
        <w:t>2</w:t>
      </w:r>
      <w:r w:rsidRPr="00114AC2">
        <w:rPr>
          <w:rFonts w:ascii="Calibri" w:hAnsi="Calibri"/>
          <w:lang w:val="pl-PL"/>
        </w:rPr>
        <w:t>).</w:t>
      </w:r>
    </w:p>
    <w:p w:rsidR="008A63F7" w:rsidRDefault="008A63F7" w:rsidP="008A63F7">
      <w:pPr>
        <w:pStyle w:val="NoSpacing"/>
      </w:pPr>
      <w:r>
        <w:t xml:space="preserve">             Prijave se podnose pisanim putem u zatvorenim omotnicama prema tabelarnom prikazu  </w:t>
      </w:r>
    </w:p>
    <w:p w:rsidR="008A63F7" w:rsidRDefault="008A63F7" w:rsidP="008A63F7">
      <w:pPr>
        <w:pStyle w:val="NoSpacing"/>
      </w:pPr>
      <w:r>
        <w:t xml:space="preserve">             kako slijedi:</w:t>
      </w:r>
    </w:p>
    <w:p w:rsidR="008A63F7" w:rsidRDefault="008A63F7" w:rsidP="008A63F7"/>
    <w:tbl>
      <w:tblPr>
        <w:tblStyle w:val="TableGrid"/>
        <w:tblW w:w="10070" w:type="dxa"/>
        <w:tblInd w:w="-5" w:type="dxa"/>
        <w:tblLayout w:type="fixed"/>
        <w:tblLook w:val="04A0" w:firstRow="1" w:lastRow="0" w:firstColumn="1" w:lastColumn="0" w:noHBand="0" w:noVBand="1"/>
      </w:tblPr>
      <w:tblGrid>
        <w:gridCol w:w="1423"/>
        <w:gridCol w:w="1134"/>
        <w:gridCol w:w="2127"/>
        <w:gridCol w:w="1417"/>
        <w:gridCol w:w="1418"/>
        <w:gridCol w:w="1417"/>
        <w:gridCol w:w="1134"/>
      </w:tblGrid>
      <w:tr w:rsidR="008A63F7" w:rsidTr="008A63F7">
        <w:trPr>
          <w:trHeight w:val="1242"/>
        </w:trPr>
        <w:tc>
          <w:tcPr>
            <w:tcW w:w="1423" w:type="dxa"/>
          </w:tcPr>
          <w:p w:rsidR="008A63F7" w:rsidRDefault="008A63F7" w:rsidP="003012A8"/>
          <w:p w:rsidR="008A63F7" w:rsidRDefault="008A63F7" w:rsidP="003012A8">
            <w:r>
              <w:t>Adresa</w:t>
            </w:r>
          </w:p>
        </w:tc>
        <w:tc>
          <w:tcPr>
            <w:tcW w:w="1134" w:type="dxa"/>
          </w:tcPr>
          <w:p w:rsidR="008A63F7" w:rsidRDefault="008A63F7" w:rsidP="003012A8"/>
          <w:p w:rsidR="008A63F7" w:rsidRDefault="008A63F7" w:rsidP="003012A8">
            <w:r>
              <w:t>Površina</w:t>
            </w:r>
          </w:p>
        </w:tc>
        <w:tc>
          <w:tcPr>
            <w:tcW w:w="2127" w:type="dxa"/>
          </w:tcPr>
          <w:p w:rsidR="008A63F7" w:rsidRDefault="008A63F7" w:rsidP="003012A8"/>
          <w:p w:rsidR="008A63F7" w:rsidRDefault="008A63F7" w:rsidP="003012A8">
            <w:r>
              <w:t>Djelatnost</w:t>
            </w:r>
          </w:p>
        </w:tc>
        <w:tc>
          <w:tcPr>
            <w:tcW w:w="1417" w:type="dxa"/>
          </w:tcPr>
          <w:p w:rsidR="008A63F7" w:rsidRDefault="008A63F7" w:rsidP="003012A8">
            <w:pPr>
              <w:jc w:val="center"/>
            </w:pPr>
            <w:r>
              <w:t xml:space="preserve">Početni iznos mjesečne zakupnine </w:t>
            </w:r>
          </w:p>
        </w:tc>
        <w:tc>
          <w:tcPr>
            <w:tcW w:w="1418" w:type="dxa"/>
          </w:tcPr>
          <w:p w:rsidR="008A63F7" w:rsidRDefault="008A63F7" w:rsidP="003012A8">
            <w:pPr>
              <w:jc w:val="center"/>
            </w:pPr>
          </w:p>
          <w:p w:rsidR="008A63F7" w:rsidRDefault="008A63F7" w:rsidP="003012A8">
            <w:pPr>
              <w:jc w:val="center"/>
            </w:pPr>
            <w:r>
              <w:t>Jamčevina</w:t>
            </w:r>
          </w:p>
        </w:tc>
        <w:tc>
          <w:tcPr>
            <w:tcW w:w="1417" w:type="dxa"/>
          </w:tcPr>
          <w:p w:rsidR="008A63F7" w:rsidRDefault="008A63F7" w:rsidP="003012A8">
            <w:r>
              <w:t>Datum pregleda prostora</w:t>
            </w:r>
          </w:p>
        </w:tc>
        <w:tc>
          <w:tcPr>
            <w:tcW w:w="1134" w:type="dxa"/>
          </w:tcPr>
          <w:p w:rsidR="008A63F7" w:rsidRDefault="008A63F7" w:rsidP="003012A8">
            <w:r>
              <w:t>Vrijeme pregleda prostora</w:t>
            </w:r>
          </w:p>
        </w:tc>
      </w:tr>
      <w:tr w:rsidR="008A63F7" w:rsidTr="008A63F7">
        <w:tc>
          <w:tcPr>
            <w:tcW w:w="1423" w:type="dxa"/>
          </w:tcPr>
          <w:p w:rsidR="008A63F7" w:rsidRDefault="008A63F7" w:rsidP="003012A8">
            <w:r>
              <w:t>Kamenita 11</w:t>
            </w:r>
          </w:p>
        </w:tc>
        <w:tc>
          <w:tcPr>
            <w:tcW w:w="1134" w:type="dxa"/>
          </w:tcPr>
          <w:p w:rsidR="008A63F7" w:rsidRDefault="008A63F7" w:rsidP="003012A8">
            <w:r>
              <w:t xml:space="preserve">52,81 </w:t>
            </w:r>
            <w:r w:rsidRPr="00114AC2">
              <w:rPr>
                <w:rFonts w:ascii="Calibri" w:hAnsi="Calibri"/>
                <w:lang w:val="pl-PL"/>
              </w:rPr>
              <w:t>m</w:t>
            </w:r>
            <w:r w:rsidRPr="00114AC2">
              <w:rPr>
                <w:rFonts w:ascii="Calibri" w:hAnsi="Calibri"/>
                <w:vertAlign w:val="superscript"/>
                <w:lang w:val="pl-PL"/>
              </w:rPr>
              <w:t>2</w:t>
            </w:r>
          </w:p>
        </w:tc>
        <w:tc>
          <w:tcPr>
            <w:tcW w:w="2127" w:type="dxa"/>
          </w:tcPr>
          <w:p w:rsidR="008A63F7" w:rsidRDefault="008A63F7" w:rsidP="003012A8">
            <w:r>
              <w:t>Ugostiteljska</w:t>
            </w:r>
          </w:p>
        </w:tc>
        <w:tc>
          <w:tcPr>
            <w:tcW w:w="1417" w:type="dxa"/>
          </w:tcPr>
          <w:p w:rsidR="008A63F7" w:rsidRDefault="008A63F7" w:rsidP="003012A8">
            <w:pPr>
              <w:jc w:val="center"/>
            </w:pPr>
            <w:r>
              <w:t>5.423,76 kn</w:t>
            </w:r>
          </w:p>
        </w:tc>
        <w:tc>
          <w:tcPr>
            <w:tcW w:w="1418" w:type="dxa"/>
          </w:tcPr>
          <w:p w:rsidR="008A63F7" w:rsidRDefault="008A63F7" w:rsidP="003012A8">
            <w:r>
              <w:t>16.271,27 kn</w:t>
            </w:r>
          </w:p>
        </w:tc>
        <w:tc>
          <w:tcPr>
            <w:tcW w:w="1417" w:type="dxa"/>
          </w:tcPr>
          <w:p w:rsidR="008A63F7" w:rsidRDefault="00AB0335" w:rsidP="003012A8">
            <w:r>
              <w:t>sve radne dane</w:t>
            </w:r>
          </w:p>
        </w:tc>
        <w:tc>
          <w:tcPr>
            <w:tcW w:w="1134" w:type="dxa"/>
          </w:tcPr>
          <w:p w:rsidR="008A63F7" w:rsidRDefault="008A63F7" w:rsidP="003012A8">
            <w:r>
              <w:t>09-14h</w:t>
            </w:r>
          </w:p>
        </w:tc>
      </w:tr>
    </w:tbl>
    <w:p w:rsidR="008A63F7" w:rsidRDefault="008A63F7" w:rsidP="008A63F7"/>
    <w:p w:rsidR="008A63F7" w:rsidRDefault="008A63F7" w:rsidP="008A63F7">
      <w:pPr>
        <w:pStyle w:val="ListParagraph"/>
        <w:numPr>
          <w:ilvl w:val="0"/>
          <w:numId w:val="1"/>
        </w:numPr>
      </w:pPr>
      <w:r>
        <w:t>Prostor se daje u zakup na neodređeno vrijeme, odnosno do pravomoćnog okončanja postupka povrata sukladno odredbama Zakona o naknadi za imovinu oduzetu za vrijeme jugoslavenske komunističke vladavine u slučaju obveze povrata prostora Gimnazije Tituša Brezovačkog Z</w:t>
      </w:r>
      <w:r w:rsidR="00F037A5">
        <w:t>agrebačkoj nadbiskupiji, ali ne dulje od 10 godina.</w:t>
      </w:r>
    </w:p>
    <w:p w:rsidR="008A63F7" w:rsidRDefault="008A63F7" w:rsidP="008A63F7">
      <w:pPr>
        <w:pStyle w:val="ListParagraph"/>
        <w:numPr>
          <w:ilvl w:val="0"/>
          <w:numId w:val="1"/>
        </w:numPr>
      </w:pPr>
      <w:r>
        <w:t>Gimnazija Tituša Brezovačkog će predati prostor u posjed osobi s kojom sklopi ugovor zakupu u roku od 15 dana od dana izbora najpovoljnije ponude.</w:t>
      </w:r>
    </w:p>
    <w:p w:rsidR="008A63F7" w:rsidRDefault="008A63F7" w:rsidP="008A63F7">
      <w:pPr>
        <w:pStyle w:val="ListParagraph"/>
        <w:numPr>
          <w:ilvl w:val="0"/>
          <w:numId w:val="1"/>
        </w:numPr>
      </w:pPr>
      <w:r>
        <w:t>Početni iznos mjesečne zakupnine naveden je u tabelarnom prikazu, te je svaki ponuđač dužan ponuditi iznos mjesečne zakupnine viši od početnoga iznosa.</w:t>
      </w:r>
    </w:p>
    <w:p w:rsidR="00FC39E0" w:rsidRPr="00FC39E0" w:rsidRDefault="00FC39E0" w:rsidP="00FC39E0">
      <w:pPr>
        <w:pStyle w:val="ListParagraph"/>
        <w:jc w:val="both"/>
      </w:pPr>
      <w:r w:rsidRPr="00FC39E0">
        <w:t>Gimnazija Tituša Brezovačkog će zakupniku poslovnog prostora dopustiti prilagodbu prostora prema propisanim standardima za ugostiteljsku djelatnost</w:t>
      </w:r>
      <w:r w:rsidR="00180FB6">
        <w:t xml:space="preserve"> na temelju projekta adap</w:t>
      </w:r>
      <w:r w:rsidR="00F16BA1">
        <w:t>tacije izrađenog od strane projektanta</w:t>
      </w:r>
      <w:r w:rsidR="00180FB6">
        <w:t xml:space="preserve"> koji posjeduje propisano dopuštenje Ministarstva kulture za obavljanje poslova na zaštiti i očuvanju kulturnih dobara.</w:t>
      </w:r>
      <w:r w:rsidRPr="00FC39E0">
        <w:t> </w:t>
      </w:r>
      <w:r w:rsidR="00F037A5">
        <w:t xml:space="preserve"> Zakupnik će najamninu početi plaćati od dana dobivanja rješenja za početak obavljanja ugostiteljske djelatnosti.</w:t>
      </w:r>
      <w:r w:rsidRPr="00FC39E0">
        <w:t xml:space="preserve"> </w:t>
      </w:r>
      <w:r w:rsidR="00180FB6">
        <w:t>M</w:t>
      </w:r>
      <w:r w:rsidR="00F16BA1">
        <w:t>jesečna</w:t>
      </w:r>
      <w:r w:rsidR="00180FB6">
        <w:t xml:space="preserve"> zakupnina će se umanjiti</w:t>
      </w:r>
      <w:r w:rsidR="00F16BA1">
        <w:t xml:space="preserve"> </w:t>
      </w:r>
      <w:r w:rsidR="00F037A5">
        <w:t>za</w:t>
      </w:r>
      <w:r w:rsidR="00F16BA1">
        <w:t xml:space="preserve"> 50% mjesečnog iznosa</w:t>
      </w:r>
      <w:r w:rsidR="00F037A5">
        <w:t xml:space="preserve">, </w:t>
      </w:r>
      <w:r w:rsidR="00180FB6">
        <w:t xml:space="preserve">na temelju </w:t>
      </w:r>
      <w:r w:rsidR="00F16BA1">
        <w:t xml:space="preserve">stvarnih </w:t>
      </w:r>
      <w:r w:rsidR="00180FB6">
        <w:t>troško</w:t>
      </w:r>
      <w:r w:rsidR="00F16BA1">
        <w:t>va, koji proizlaze iz detaljnog troškovnika radova</w:t>
      </w:r>
      <w:r w:rsidR="00F037A5">
        <w:t xml:space="preserve"> do povrata uloženih sredstava. </w:t>
      </w:r>
      <w:r w:rsidR="00B82CD2">
        <w:t xml:space="preserve">Ulaganje u </w:t>
      </w:r>
      <w:r w:rsidRPr="00FC39E0">
        <w:t>ugosti</w:t>
      </w:r>
      <w:r w:rsidR="00B66271">
        <w:t>teljsku opremu (š</w:t>
      </w:r>
      <w:bookmarkStart w:id="0" w:name="_GoBack"/>
      <w:bookmarkEnd w:id="0"/>
      <w:r w:rsidR="00B66271">
        <w:t xml:space="preserve">ank, stolovi, </w:t>
      </w:r>
      <w:r w:rsidRPr="00FC39E0">
        <w:t>stolci</w:t>
      </w:r>
      <w:r w:rsidR="00B66271">
        <w:t xml:space="preserve"> i sl.</w:t>
      </w:r>
      <w:r w:rsidRPr="00FC39E0">
        <w:t xml:space="preserve">) ne smatra se ulaganjem u poslovni prostor. </w:t>
      </w:r>
    </w:p>
    <w:p w:rsidR="00FC39E0" w:rsidRDefault="00FC39E0" w:rsidP="00FC39E0">
      <w:pPr>
        <w:pStyle w:val="ListParagraph"/>
      </w:pPr>
      <w:r w:rsidRPr="00FC39E0">
        <w:t>U cijeni najma uključeni su troškovi grijanja</w:t>
      </w:r>
      <w:r w:rsidR="00734846">
        <w:t xml:space="preserve"> plinom do 15 sati</w:t>
      </w:r>
      <w:r w:rsidRPr="00FC39E0">
        <w:t xml:space="preserve">, a električna energija i voda plaćaju se posebno </w:t>
      </w:r>
      <w:r>
        <w:t>(prema potrošnji).</w:t>
      </w:r>
    </w:p>
    <w:p w:rsidR="008A63F7" w:rsidRDefault="008A63F7" w:rsidP="008A63F7">
      <w:pPr>
        <w:pStyle w:val="ListParagraph"/>
        <w:numPr>
          <w:ilvl w:val="0"/>
          <w:numId w:val="1"/>
        </w:numPr>
      </w:pPr>
      <w:r>
        <w:t>Pravo podnošenja pisane ponude za poslovne prostore imaju fizičke osobe – obrtnici, te pravne osobe registrirane u Republici Hrvatskoj, odnosno s registriranom podružnicom u Republici Hrvatskoj.</w:t>
      </w:r>
    </w:p>
    <w:p w:rsidR="008A63F7" w:rsidRDefault="008A63F7" w:rsidP="008A63F7">
      <w:pPr>
        <w:pStyle w:val="ListParagraph"/>
        <w:numPr>
          <w:ilvl w:val="0"/>
          <w:numId w:val="1"/>
        </w:numPr>
      </w:pPr>
      <w:r>
        <w:lastRenderedPageBreak/>
        <w:t>Neće se razmatrati ponude: - fizičkih i pravnih osoba koje su po bilo kojoj osnovi dužnici Grada Zagreba zbog neispunjenih dospjelih obveza starijih od tri mjeseca (komunalna naknada, komunalni doprinos, zakupnina, naknada za korištenje prostora i slično), odnosno čija su dugovanja podmirena nagodbom s Gradom Zagrebom, reprogramiranjem duga ili čija su dugovanja ostala nenaplaćena s osnove zastare; - fizičkih i pravnih osoba koje su dužnici po osnovi javnih davanja o kojima službenu evidenciju vodi Ministarstvo financija – Porezna uprava; - pravnih osoba koje nisu solventne; - fizičkih i pravnih osoba koje nisu podnesene u roku, odnosno nisu potpune ili ne ispunjavaju uvjete iz javnog natječaja.</w:t>
      </w:r>
    </w:p>
    <w:p w:rsidR="008A63F7" w:rsidRDefault="008A63F7" w:rsidP="008A63F7">
      <w:pPr>
        <w:pStyle w:val="ListParagraph"/>
        <w:numPr>
          <w:ilvl w:val="0"/>
          <w:numId w:val="1"/>
        </w:numPr>
      </w:pPr>
      <w:r>
        <w:t>Ponuditelj je dužan položiti jamčevinu u trostrukom iznosu početnog iznosa zakupnine na žiro-račun Gimnazije Tituša Brezovačkog IBAN br. HR3023600001101240442.</w:t>
      </w:r>
    </w:p>
    <w:p w:rsidR="008A63F7" w:rsidRDefault="008A63F7" w:rsidP="008A63F7">
      <w:pPr>
        <w:pStyle w:val="ListParagraph"/>
        <w:numPr>
          <w:ilvl w:val="0"/>
          <w:numId w:val="1"/>
        </w:numPr>
      </w:pPr>
      <w:r>
        <w:t>Ponuda za sudjelovanje u javnom natječaju mora sadržavati: - ime i prezime ponuditelja, njegovo prebivalište, OIB (za fizičke osobe), odnosno naziv društva sa adresom sjedišta, OIB (za pravne osobe) i broj telefona radi kontakta; - presliku osobne iskaznice za ponuditelja fizičku osobu – obrtnika;3 - izvornik ili ovjerenu presliku izvatka iz obrtnog registra ne starijeg od 6 mjeseci od datuma izdavanja, iz kojeg mora biti vidljivo da je ponuditelj registriran za djelatnost koja je oglašena (za fizičku osobu - obrtnika); - izvornik ili ovjerenu presliku izvatka iz sudskog registra ne starijeg od 6 mjeseci od datuma izdavanja, iz kojeg mora biti vidljivo da je društvo registrirano za djelatnost koja je oglašena (za pravnu osobu); - detaljan opis djelatnosti (specifikacija) koju bi ponuditelj obavljao u okviru oglašene djelatnosti; - ponuđeni iznos mjesečne zakupnine za poslovni prostor, prema natječajnoj tablici, a koji iznos mora biti veći od oglašenog u javnom natječaju; - broj žiro računa i IBAN s naznakom poslovne banke kod koje je račun otvoren, za povrat jamčevine (za fizičke i za pravne osobe); - izvornik ili ovjerenu presliku potvrde o stanju poreznog duga ponuditelja što ju je izdala nadležna porezna uprava Ministarstva financija, ne stariju od 30 dana; - ovjerenu izjavu ponuditelja o nepostojanju duga s osnove potraživanja Grada Zagreba, ne stariju od 6 mjeseci; - izvornik ili ovjerenu presliku BON-a 2 ili SOL-a 2 - podaci o solventnosti ili potvrdu nadležnog tijela da nije u mogućnosti isto dostaviti, ne stariji od 6 mjeseci od datuma izdavanja, (samo za pravne osobe); - dokaz o izvršenoj uplati jamčevine; - za osobu koja se poziva na pravo prvenstva iz točke 19. ovog natječaja - izvornik ili ovjerenu presliku potvrde Ministarstva obrane Republike Hrvatske ne starije od 6 mjeseci od datuma izdavanja, odnosno Ministarstva unutarnjih poslova Republike Hrvatske kojom se dokazuje pravo prvenstva iz točke 19. ovog natječaja, izvornik ili ovjerenu presliku potvrde Hrvatskog zavoda za mirovinsko osiguranje, ne starije od 6 mjeseci od datuma izdavanja, o tome da nije korisnik mirovine ostvarene na temelju Zakona o pravima hrvatskih branitelja i ovjerenu izjavu ne stariju od 6 mjeseci od datuma izdavanja, da već jednom po provedenom javnom nat</w:t>
      </w:r>
      <w:r w:rsidR="00610BEE">
        <w:t>ječaju nije ostvarila to pravo</w:t>
      </w:r>
      <w:r>
        <w:t>; - dokaz kojim se dokazuje pravo prvenstva iz točke 21. ovog natječaja, ako se ponuditelj na isto poziva; - dokaz kojim ponuditelj dokazuje da on ili s njim povezano društvo ima u vlasništvu pogon za poljoprivredno prehrambene i mesne proizvode; - potvrda nadležnog suda da direktor ili druge osobe ovlaštene za zastupanje nisu pravomoćno osuđivane za kaznena djela protiv gospodarstva posljednjih pet godina, izvornik ili ovjerenu presliku ne stariju od 6 mjeseci od datuma izdavanja; izjava ovjerena kod javnog bilježnika o prihvaćanju posebnih uvjeta iz točke 5. Natječaja. Ovjeravanje dokumenata vrši se kod javnog bilježnika.</w:t>
      </w:r>
    </w:p>
    <w:p w:rsidR="008A63F7" w:rsidRDefault="008A63F7" w:rsidP="008A63F7">
      <w:pPr>
        <w:pStyle w:val="ListParagraph"/>
        <w:numPr>
          <w:ilvl w:val="0"/>
          <w:numId w:val="1"/>
        </w:numPr>
      </w:pPr>
      <w:r>
        <w:t xml:space="preserve">Pisane ponude na ovaj natječaj podnose se u zatvorenoj omotnici s naznakom: “JAVNI NATJEČAJ ZA DAVANJE U ZAKUP POSLOVNOG PROSTORA– NE OTVARATI“ na adresu: ŠKOLSKI ODBOR GIMNAZIJE TITUŠA BREZOVAČKOG, </w:t>
      </w:r>
      <w:proofErr w:type="spellStart"/>
      <w:r>
        <w:t>Habdelićeva</w:t>
      </w:r>
      <w:proofErr w:type="spellEnd"/>
      <w:r>
        <w:t xml:space="preserve"> 1, 10000 Zagreb. </w:t>
      </w:r>
      <w:r w:rsidR="00AB0335">
        <w:rPr>
          <w:b/>
        </w:rPr>
        <w:t>Natječaj vrijedi od 12.  do 31. ožujka</w:t>
      </w:r>
      <w:r w:rsidR="00180FB6" w:rsidRPr="00AB0335">
        <w:rPr>
          <w:b/>
        </w:rPr>
        <w:t xml:space="preserve"> 2016</w:t>
      </w:r>
      <w:r>
        <w:t>.</w:t>
      </w:r>
      <w:r w:rsidR="00AB0335">
        <w:t xml:space="preserve"> </w:t>
      </w:r>
      <w:r w:rsidR="00AB0335" w:rsidRPr="00AB0335">
        <w:rPr>
          <w:b/>
        </w:rPr>
        <w:t>godine</w:t>
      </w:r>
      <w:r w:rsidR="00AB0335">
        <w:t>.</w:t>
      </w:r>
    </w:p>
    <w:p w:rsidR="008A63F7" w:rsidRDefault="008A63F7" w:rsidP="008A63F7">
      <w:pPr>
        <w:pStyle w:val="ListParagraph"/>
        <w:numPr>
          <w:ilvl w:val="0"/>
          <w:numId w:val="1"/>
        </w:numPr>
      </w:pPr>
      <w:r>
        <w:t>Gimnazija Tituša Brezovačkog zadržava pravo ne prihvatiti niti jednu ponudu.</w:t>
      </w:r>
    </w:p>
    <w:p w:rsidR="008A63F7" w:rsidRDefault="008A63F7" w:rsidP="008A63F7">
      <w:pPr>
        <w:pStyle w:val="ListParagraph"/>
        <w:numPr>
          <w:ilvl w:val="0"/>
          <w:numId w:val="1"/>
        </w:numPr>
      </w:pPr>
      <w:r>
        <w:t>Datum i vrijeme pregleda poslovnog prostora, naveden je u tabelarnom prikazu.</w:t>
      </w:r>
    </w:p>
    <w:p w:rsidR="008A63F7" w:rsidRDefault="008A63F7" w:rsidP="008A63F7">
      <w:pPr>
        <w:pStyle w:val="ListParagraph"/>
        <w:numPr>
          <w:ilvl w:val="0"/>
          <w:numId w:val="1"/>
        </w:numPr>
      </w:pPr>
      <w:r>
        <w:lastRenderedPageBreak/>
        <w:t>Ponude će biti javno otvorene u prostorijama Gimnazije Tituša Brezovačk</w:t>
      </w:r>
      <w:r w:rsidR="00B82CD2">
        <w:t xml:space="preserve">og, </w:t>
      </w:r>
      <w:proofErr w:type="spellStart"/>
      <w:r w:rsidR="00B82CD2">
        <w:t>Habdelićeva</w:t>
      </w:r>
      <w:proofErr w:type="spellEnd"/>
      <w:r w:rsidR="00B82CD2">
        <w:t xml:space="preserve"> 1, 10000 Zagreb</w:t>
      </w:r>
      <w:r>
        <w:t>. Otvaranju ponuda mogu pristupiti ponuditelji odnosno njihovi ovlašteni predstavnici uz predočenje valjane punomoći.</w:t>
      </w:r>
      <w:r w:rsidR="00B82CD2">
        <w:t xml:space="preserve"> O datumu i vremenu otvaranja svi natjecatelji će biti pravovremeno obavješteni putem web stranice Gimnazije. </w:t>
      </w:r>
    </w:p>
    <w:p w:rsidR="008A63F7" w:rsidRDefault="008A63F7" w:rsidP="008A63F7">
      <w:pPr>
        <w:pStyle w:val="ListParagraph"/>
        <w:numPr>
          <w:ilvl w:val="0"/>
          <w:numId w:val="1"/>
        </w:numPr>
      </w:pPr>
      <w:r>
        <w:t>Najpovoljnija ponuda je ona ponuda koja uz ispunjavanje uvjeta ovog natječaja sadrži i najviši ponuđeni iznos mjesečne zakupnine.</w:t>
      </w:r>
    </w:p>
    <w:p w:rsidR="008A63F7" w:rsidRDefault="008A63F7" w:rsidP="008A63F7">
      <w:pPr>
        <w:pStyle w:val="ListParagraph"/>
        <w:numPr>
          <w:ilvl w:val="0"/>
          <w:numId w:val="1"/>
        </w:numPr>
      </w:pPr>
      <w:r>
        <w:t>Ako dva ili više natjecatelja ponude isti iznos mjesečne zakupnine za isti poslovni prostor, a ispunjavaju uvjete ovog natječaja, Povjerenstvo za davanje u zakup poslovnoga prostora, pozvat će te natjecatelje da u roku od 24 sata ponude pisanim putem u zatvorenoj omotnici novi iznos mjesečne zakupnine.</w:t>
      </w:r>
    </w:p>
    <w:p w:rsidR="008A63F7" w:rsidRDefault="008A63F7" w:rsidP="008A63F7">
      <w:pPr>
        <w:pStyle w:val="ListParagraph"/>
        <w:numPr>
          <w:ilvl w:val="0"/>
          <w:numId w:val="1"/>
        </w:numPr>
      </w:pPr>
      <w:r>
        <w:t>Zaključak o izboru najpovoljnijeg natjecatelja, na prijedlog ravnatelja Gimnazije, donosi Školski odbor Gimnazije. Na zaključak se, radi njegova preispitivanja, može izjaviti prigovor Gimnaziji Tituša Brezovačkog u roku od 8 dana od dana dostave.</w:t>
      </w:r>
    </w:p>
    <w:p w:rsidR="008A63F7" w:rsidRDefault="008A63F7" w:rsidP="008A63F7">
      <w:pPr>
        <w:pStyle w:val="ListParagraph"/>
        <w:numPr>
          <w:ilvl w:val="0"/>
          <w:numId w:val="1"/>
        </w:numPr>
      </w:pPr>
      <w:r>
        <w:t>Najpovoljnijem natjecatelju uplaćena jamčevina uračunava se u zakupninu, a ostalim natjecateljima uplaćena jamčevina se vraća u roku 30 dana od dana konačnosti zaključka o izboru najpovoljnijeg natjecatelja. Uplaćena jamčevina se ne vraća najpovoljnijem natjecatelju ako odustane od ponude, odnosno od sklapanja ugovora o zakupu.</w:t>
      </w:r>
    </w:p>
    <w:p w:rsidR="008A63F7" w:rsidRDefault="008A63F7" w:rsidP="008A63F7">
      <w:pPr>
        <w:pStyle w:val="ListParagraph"/>
        <w:numPr>
          <w:ilvl w:val="0"/>
          <w:numId w:val="1"/>
        </w:numPr>
      </w:pPr>
      <w:r>
        <w:t>Pravo prvenstva na sklapanje ugovora o zakupu poslovnog prostora imaju osobe određene Zakonom o pravima hrvatskih branitelja iz Domovinskog rata i članova njihovih obitelji, ako ispunjavaju uvjete natječaja i prihvate najviši ponuđeni iznos mjesečne zakupnine.</w:t>
      </w:r>
    </w:p>
    <w:p w:rsidR="008A63F7" w:rsidRDefault="008A63F7" w:rsidP="008A63F7">
      <w:pPr>
        <w:pStyle w:val="ListParagraph"/>
        <w:numPr>
          <w:ilvl w:val="0"/>
          <w:numId w:val="1"/>
        </w:numPr>
      </w:pPr>
      <w:r>
        <w:t>Osobe iz točke 17. ovog natječaja ne mogu ostvariti pravo prvenstva ako su već jednom po provedenom javnom natječaju ostvarile to pravo. Zakupnicima koji sklope ugovor o zakupu na temelju prava prvenstva iz točke 19. ovog natječaja, neće se odobriti zajednički zakup niti davanje dijela poslovnog prostora u podzakup.</w:t>
      </w:r>
    </w:p>
    <w:p w:rsidR="008A63F7" w:rsidRDefault="008A63F7" w:rsidP="008A63F7">
      <w:pPr>
        <w:pStyle w:val="ListParagraph"/>
        <w:numPr>
          <w:ilvl w:val="0"/>
          <w:numId w:val="1"/>
        </w:numPr>
      </w:pPr>
      <w:r>
        <w:t>Pravo prvenstva za davanje poslovnog prostora u zakup imaju zakupnici kojima je ugovor o zakupu raskinut na temelju Zakona o naknadi za imovinu oduzetu za vrijeme jugoslavenske komunističke vladavine, ako ispunjavaju uvjete natječaja i prihvate najviši ponuđeni iznos mjesečne zakupnine. Ako se na pravo prvenstva za isti poslovni prostor pozivaju osobe iz točke 17. ovog Natječaja, prednost imaju osobe iz točke 17. natječaja.</w:t>
      </w:r>
    </w:p>
    <w:p w:rsidR="008A63F7" w:rsidRDefault="008A63F7" w:rsidP="008A63F7">
      <w:pPr>
        <w:pStyle w:val="ListParagraph"/>
        <w:numPr>
          <w:ilvl w:val="0"/>
          <w:numId w:val="1"/>
        </w:numPr>
      </w:pPr>
      <w:r>
        <w:t xml:space="preserve">Ugovor o zakupu sklapa se s najpovoljnijim natjecateljem u roku od 15 dana od dana konačnosti zaključka o izboru najpovoljnijeg natjecatelja. </w:t>
      </w:r>
    </w:p>
    <w:p w:rsidR="008A63F7" w:rsidRDefault="008A63F7" w:rsidP="008A63F7">
      <w:pPr>
        <w:pStyle w:val="ListParagraph"/>
        <w:numPr>
          <w:ilvl w:val="0"/>
          <w:numId w:val="1"/>
        </w:numPr>
      </w:pPr>
      <w:r>
        <w:t>Najpovoljniji natjecatelj, prilikom sklapanja ugovora o zakupu, položiti bjanko zadužnicu u iznosu 12 mjesečnih zakupnina, kao osiguranje redovnog podmirenja zakupnine.</w:t>
      </w:r>
    </w:p>
    <w:p w:rsidR="008A63F7" w:rsidRDefault="008A63F7" w:rsidP="008A63F7">
      <w:pPr>
        <w:pStyle w:val="ListParagraph"/>
        <w:numPr>
          <w:ilvl w:val="0"/>
          <w:numId w:val="1"/>
        </w:numPr>
      </w:pPr>
      <w:r>
        <w:t>Ugovor o zakupu sklapa se kao ovršna isprava i potvrđuje (</w:t>
      </w:r>
      <w:proofErr w:type="spellStart"/>
      <w:r>
        <w:t>solemnizira</w:t>
      </w:r>
      <w:proofErr w:type="spellEnd"/>
      <w:r>
        <w:t>) se kod javnog bilježnika na trošak zakupnika.</w:t>
      </w:r>
    </w:p>
    <w:p w:rsidR="008A63F7" w:rsidRDefault="008A63F7" w:rsidP="008A63F7">
      <w:pPr>
        <w:pStyle w:val="ListParagraph"/>
        <w:numPr>
          <w:ilvl w:val="0"/>
          <w:numId w:val="1"/>
        </w:numPr>
      </w:pPr>
      <w:r>
        <w:t>Poslovni prostori, predaju se zakupniku u stanju utvrđenom ugovorom.</w:t>
      </w:r>
    </w:p>
    <w:p w:rsidR="0012275D" w:rsidRDefault="0012275D"/>
    <w:sectPr w:rsidR="00122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71609"/>
    <w:multiLevelType w:val="hybridMultilevel"/>
    <w:tmpl w:val="7A36E8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F7"/>
    <w:rsid w:val="0012275D"/>
    <w:rsid w:val="00180FB6"/>
    <w:rsid w:val="00284F95"/>
    <w:rsid w:val="003A13E0"/>
    <w:rsid w:val="00610BEE"/>
    <w:rsid w:val="006A285F"/>
    <w:rsid w:val="00701047"/>
    <w:rsid w:val="00705A2E"/>
    <w:rsid w:val="00734846"/>
    <w:rsid w:val="00872C73"/>
    <w:rsid w:val="008A29CA"/>
    <w:rsid w:val="008A63F7"/>
    <w:rsid w:val="00A3046F"/>
    <w:rsid w:val="00AB0335"/>
    <w:rsid w:val="00B66271"/>
    <w:rsid w:val="00B82CD2"/>
    <w:rsid w:val="00F01F8D"/>
    <w:rsid w:val="00F037A5"/>
    <w:rsid w:val="00F16BA1"/>
    <w:rsid w:val="00FC3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64C7F-17AD-460A-86CE-DDD5C958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3F7"/>
    <w:pPr>
      <w:ind w:left="720"/>
      <w:contextualSpacing/>
    </w:pPr>
  </w:style>
  <w:style w:type="table" w:styleId="TableGrid">
    <w:name w:val="Table Grid"/>
    <w:basedOn w:val="TableNormal"/>
    <w:uiPriority w:val="39"/>
    <w:rsid w:val="008A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3F7"/>
    <w:pPr>
      <w:spacing w:after="0" w:line="240" w:lineRule="auto"/>
    </w:pPr>
  </w:style>
  <w:style w:type="paragraph" w:styleId="BalloonText">
    <w:name w:val="Balloon Text"/>
    <w:basedOn w:val="Normal"/>
    <w:link w:val="BalloonTextChar"/>
    <w:uiPriority w:val="99"/>
    <w:semiHidden/>
    <w:unhideWhenUsed/>
    <w:rsid w:val="003A1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7377">
      <w:bodyDiv w:val="1"/>
      <w:marLeft w:val="0"/>
      <w:marRight w:val="0"/>
      <w:marTop w:val="0"/>
      <w:marBottom w:val="0"/>
      <w:divBdr>
        <w:top w:val="none" w:sz="0" w:space="0" w:color="auto"/>
        <w:left w:val="none" w:sz="0" w:space="0" w:color="auto"/>
        <w:bottom w:val="none" w:sz="0" w:space="0" w:color="auto"/>
        <w:right w:val="none" w:sz="0" w:space="0" w:color="auto"/>
      </w:divBdr>
    </w:div>
    <w:div w:id="18097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16</cp:revision>
  <cp:lastPrinted>2016-02-17T10:28:00Z</cp:lastPrinted>
  <dcterms:created xsi:type="dcterms:W3CDTF">2015-07-03T11:41:00Z</dcterms:created>
  <dcterms:modified xsi:type="dcterms:W3CDTF">2016-03-11T11:08:00Z</dcterms:modified>
</cp:coreProperties>
</file>